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D81F6" w14:textId="77777777" w:rsidR="009F5C9A" w:rsidRDefault="006E5996">
      <w:pPr>
        <w:spacing w:after="113"/>
        <w:jc w:val="center"/>
        <w:rPr>
          <w:rFonts w:ascii="Arial" w:eastAsia="MiloOffc" w:hAnsi="Arial" w:cs="Arial"/>
          <w:sz w:val="22"/>
          <w:szCs w:val="22"/>
          <w:lang w:val="en-GB"/>
        </w:rPr>
      </w:pPr>
      <w:r>
        <w:rPr>
          <w:rFonts w:ascii="Arial" w:eastAsia="MiloOffc" w:hAnsi="Arial" w:cs="Arial"/>
          <w:noProof/>
          <w:sz w:val="22"/>
          <w:szCs w:val="22"/>
          <w:lang w:val="en-GB"/>
        </w:rPr>
        <w:drawing>
          <wp:anchor distT="0" distB="0" distL="0" distR="0" simplePos="0" relativeHeight="2" behindDoc="0" locked="0" layoutInCell="1" allowOverlap="1" wp14:anchorId="46D8E222" wp14:editId="0968126A">
            <wp:simplePos x="0" y="0"/>
            <wp:positionH relativeFrom="column">
              <wp:posOffset>4085590</wp:posOffset>
            </wp:positionH>
            <wp:positionV relativeFrom="paragraph">
              <wp:posOffset>-144780</wp:posOffset>
            </wp:positionV>
            <wp:extent cx="2155190" cy="899160"/>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rcRect l="-96" t="-229" r="-96" b="-229"/>
                    <a:stretch>
                      <a:fillRect/>
                    </a:stretch>
                  </pic:blipFill>
                  <pic:spPr bwMode="auto">
                    <a:xfrm>
                      <a:off x="0" y="0"/>
                      <a:ext cx="2155190" cy="899160"/>
                    </a:xfrm>
                    <a:prstGeom prst="rect">
                      <a:avLst/>
                    </a:prstGeom>
                  </pic:spPr>
                </pic:pic>
              </a:graphicData>
            </a:graphic>
          </wp:anchor>
        </w:drawing>
      </w:r>
    </w:p>
    <w:p w14:paraId="0FCF75A4" w14:textId="77777777" w:rsidR="009F5C9A" w:rsidRDefault="006E5996">
      <w:pPr>
        <w:spacing w:after="113"/>
        <w:jc w:val="center"/>
        <w:rPr>
          <w:rFonts w:ascii="Arial" w:eastAsia="MiloOffc" w:hAnsi="Arial" w:cs="Arial"/>
          <w:b/>
          <w:bCs/>
          <w:sz w:val="22"/>
          <w:szCs w:val="22"/>
          <w:lang w:val="en-GB"/>
        </w:rPr>
      </w:pPr>
      <w:r>
        <w:rPr>
          <w:rFonts w:ascii="Arial" w:eastAsia="MiloOffc" w:hAnsi="Arial" w:cs="Arial"/>
          <w:b/>
          <w:bCs/>
          <w:sz w:val="22"/>
          <w:szCs w:val="22"/>
          <w:lang w:val="en-GB"/>
        </w:rPr>
        <w:t xml:space="preserve">Guidelines for </w:t>
      </w:r>
      <w:bookmarkStart w:id="0" w:name="_Hlk117611152"/>
      <w:r>
        <w:rPr>
          <w:rFonts w:ascii="Arial" w:eastAsia="MiloOffc" w:hAnsi="Arial" w:cs="Arial"/>
          <w:b/>
          <w:bCs/>
          <w:sz w:val="22"/>
          <w:szCs w:val="22"/>
          <w:lang w:val="en-GB"/>
        </w:rPr>
        <w:t xml:space="preserve">submitting </w:t>
      </w:r>
      <w:r>
        <w:rPr>
          <w:rFonts w:ascii="Arial" w:hAnsi="Arial" w:cs="Arial"/>
          <w:b/>
          <w:bCs/>
          <w:sz w:val="22"/>
          <w:szCs w:val="22"/>
          <w:lang w:val="en-GB"/>
        </w:rPr>
        <w:t>applications</w:t>
      </w:r>
      <w:bookmarkEnd w:id="0"/>
      <w:r>
        <w:rPr>
          <w:rFonts w:ascii="Arial" w:eastAsia="MiloOffc" w:hAnsi="Arial" w:cs="Arial"/>
          <w:b/>
          <w:bCs/>
          <w:sz w:val="22"/>
          <w:szCs w:val="22"/>
          <w:lang w:val="en-GB"/>
        </w:rPr>
        <w:t xml:space="preserve"> to Adveniat</w:t>
      </w:r>
    </w:p>
    <w:p w14:paraId="24E0BBB1" w14:textId="77777777" w:rsidR="009F5C9A" w:rsidRDefault="006E5996">
      <w:pPr>
        <w:spacing w:after="113"/>
        <w:jc w:val="center"/>
        <w:rPr>
          <w:lang w:val="en-GB"/>
        </w:rPr>
      </w:pPr>
      <w:r>
        <w:rPr>
          <w:rFonts w:ascii="Arial" w:eastAsia="MiloOffc" w:hAnsi="Arial" w:cs="Arial"/>
          <w:sz w:val="22"/>
          <w:szCs w:val="22"/>
          <w:lang w:val="en-GB"/>
        </w:rPr>
        <w:t>–</w:t>
      </w:r>
      <w:r>
        <w:rPr>
          <w:rFonts w:ascii="Arial" w:eastAsia="Arial" w:hAnsi="Arial" w:cs="Arial"/>
          <w:sz w:val="22"/>
          <w:szCs w:val="22"/>
          <w:lang w:val="en-GB"/>
        </w:rPr>
        <w:t xml:space="preserve"> ANNEX </w:t>
      </w:r>
      <w:r>
        <w:rPr>
          <w:rFonts w:ascii="Arial" w:hAnsi="Arial" w:cs="Arial"/>
          <w:sz w:val="22"/>
          <w:szCs w:val="22"/>
          <w:lang w:val="en-GB"/>
        </w:rPr>
        <w:t xml:space="preserve">PURCHASE OF BUILDINGS </w:t>
      </w:r>
      <w:r>
        <w:rPr>
          <w:rFonts w:ascii="Arial" w:eastAsia="MiloOffc" w:hAnsi="Arial" w:cs="Arial"/>
          <w:sz w:val="22"/>
          <w:szCs w:val="22"/>
          <w:lang w:val="en-GB"/>
        </w:rPr>
        <w:t>–</w:t>
      </w:r>
    </w:p>
    <w:p w14:paraId="5C8D4818" w14:textId="77777777" w:rsidR="009F5C9A" w:rsidRDefault="009F5C9A">
      <w:pPr>
        <w:spacing w:after="113"/>
        <w:jc w:val="center"/>
        <w:rPr>
          <w:highlight w:val="yellow"/>
          <w:lang w:val="en-GB"/>
        </w:rPr>
      </w:pPr>
    </w:p>
    <w:p w14:paraId="3313B5E8" w14:textId="77777777" w:rsidR="009F5C9A" w:rsidRDefault="009F5C9A">
      <w:pPr>
        <w:spacing w:after="113"/>
        <w:jc w:val="center"/>
        <w:rPr>
          <w:lang w:val="en-GB"/>
        </w:rPr>
      </w:pPr>
    </w:p>
    <w:p w14:paraId="1636626C" w14:textId="77777777" w:rsidR="009F5C9A" w:rsidRDefault="006E5996">
      <w:pPr>
        <w:spacing w:before="113" w:after="113"/>
        <w:rPr>
          <w:rFonts w:ascii="Arial" w:eastAsia="MiloOffc" w:hAnsi="Arial" w:cs="Arial"/>
          <w:b/>
          <w:bCs/>
          <w:sz w:val="22"/>
          <w:szCs w:val="22"/>
          <w:lang w:val="en-GB"/>
        </w:rPr>
      </w:pPr>
      <w:r>
        <w:rPr>
          <w:rFonts w:ascii="Arial" w:eastAsia="MiloOffc" w:hAnsi="Arial" w:cs="Arial"/>
          <w:b/>
          <w:bCs/>
          <w:sz w:val="22"/>
          <w:szCs w:val="22"/>
          <w:lang w:val="en-GB"/>
        </w:rPr>
        <w:t xml:space="preserve">Complementary information to the guidelines for submitting </w:t>
      </w:r>
      <w:r>
        <w:rPr>
          <w:rFonts w:ascii="Arial" w:hAnsi="Arial" w:cs="Arial"/>
          <w:b/>
          <w:bCs/>
          <w:sz w:val="22"/>
          <w:szCs w:val="22"/>
          <w:lang w:val="en-GB"/>
        </w:rPr>
        <w:t>applications</w:t>
      </w:r>
      <w:r>
        <w:rPr>
          <w:rFonts w:ascii="Arial" w:eastAsia="MiloOffc" w:hAnsi="Arial" w:cs="Arial"/>
          <w:b/>
          <w:bCs/>
          <w:sz w:val="22"/>
          <w:szCs w:val="22"/>
          <w:lang w:val="en-GB"/>
        </w:rPr>
        <w:t xml:space="preserve"> to Adveniat</w:t>
      </w:r>
    </w:p>
    <w:p w14:paraId="3F6A743E" w14:textId="77777777" w:rsidR="009F5C9A" w:rsidRDefault="009F5C9A">
      <w:pPr>
        <w:spacing w:before="113" w:after="113"/>
        <w:rPr>
          <w:rFonts w:ascii="Arial" w:eastAsia="MiloOffc" w:hAnsi="Arial" w:cs="Arial"/>
          <w:b/>
          <w:bCs/>
          <w:sz w:val="22"/>
          <w:szCs w:val="22"/>
          <w:lang w:val="en-GB"/>
        </w:rPr>
      </w:pPr>
    </w:p>
    <w:p w14:paraId="71FA5266" w14:textId="22882B03" w:rsidR="009F5C9A" w:rsidRDefault="006E5996">
      <w:pPr>
        <w:pStyle w:val="Listenabsatz"/>
        <w:numPr>
          <w:ilvl w:val="0"/>
          <w:numId w:val="1"/>
        </w:numPr>
        <w:shd w:val="clear" w:color="auto" w:fill="FFFFFF"/>
        <w:spacing w:after="113"/>
        <w:rPr>
          <w:rFonts w:cs="Arial"/>
          <w:sz w:val="22"/>
          <w:szCs w:val="22"/>
          <w:lang w:val="en-GB"/>
        </w:rPr>
      </w:pPr>
      <w:r>
        <w:rPr>
          <w:rFonts w:cs="Arial"/>
          <w:sz w:val="22"/>
          <w:szCs w:val="22"/>
          <w:lang w:val="en-GB"/>
        </w:rPr>
        <w:t xml:space="preserve">Please also use the guidelines for submitting applications to Adveniat and the attached excel sheet. </w:t>
      </w:r>
    </w:p>
    <w:p w14:paraId="2B381821" w14:textId="297349F4" w:rsidR="009F5C9A" w:rsidRDefault="006E5996">
      <w:pPr>
        <w:pStyle w:val="Listenabsatz"/>
        <w:numPr>
          <w:ilvl w:val="0"/>
          <w:numId w:val="1"/>
        </w:numPr>
        <w:spacing w:after="113"/>
        <w:rPr>
          <w:rFonts w:eastAsia="MiloOffc" w:cs="Arial"/>
          <w:b/>
          <w:bCs/>
          <w:sz w:val="22"/>
          <w:szCs w:val="22"/>
          <w:lang w:val="en-GB"/>
        </w:rPr>
      </w:pPr>
      <w:r>
        <w:rPr>
          <w:rFonts w:cs="Arial"/>
          <w:sz w:val="22"/>
          <w:szCs w:val="22"/>
          <w:lang w:val="en-GB"/>
        </w:rPr>
        <w:t>Adveniat can only accept complete applications.</w:t>
      </w:r>
    </w:p>
    <w:p w14:paraId="2202743F" w14:textId="77777777" w:rsidR="009F5C9A" w:rsidRDefault="009F5C9A">
      <w:pPr>
        <w:spacing w:after="113"/>
        <w:ind w:left="720"/>
        <w:rPr>
          <w:rFonts w:eastAsia="MiloOffc" w:cs="Arial"/>
          <w:b/>
          <w:bCs/>
          <w:sz w:val="22"/>
          <w:szCs w:val="22"/>
          <w:lang w:val="en-GB"/>
        </w:rPr>
      </w:pPr>
    </w:p>
    <w:p w14:paraId="53324896" w14:textId="77777777" w:rsidR="009F5C9A" w:rsidRDefault="006E5996">
      <w:pPr>
        <w:spacing w:before="113" w:after="113"/>
        <w:rPr>
          <w:rFonts w:ascii="Arial" w:eastAsia="MiloOffc" w:hAnsi="Arial" w:cs="Arial"/>
          <w:b/>
          <w:bCs/>
          <w:sz w:val="22"/>
          <w:szCs w:val="22"/>
          <w:lang w:val="en-GB"/>
        </w:rPr>
      </w:pPr>
      <w:r>
        <w:rPr>
          <w:rFonts w:ascii="Arial" w:eastAsia="MiloOffc" w:hAnsi="Arial" w:cs="Arial"/>
          <w:b/>
          <w:bCs/>
          <w:sz w:val="22"/>
          <w:szCs w:val="22"/>
          <w:lang w:val="en-GB"/>
        </w:rPr>
        <w:t>Complementary elements to your application for the purchase of a building</w:t>
      </w:r>
    </w:p>
    <w:p w14:paraId="4B178912" w14:textId="77777777" w:rsidR="009F5C9A" w:rsidRDefault="006E5996">
      <w:pPr>
        <w:pStyle w:val="Listenabsatz"/>
        <w:numPr>
          <w:ilvl w:val="0"/>
          <w:numId w:val="2"/>
        </w:numPr>
        <w:spacing w:after="113"/>
        <w:rPr>
          <w:rFonts w:eastAsia="MiloOffc" w:cs="Arial"/>
          <w:sz w:val="22"/>
          <w:szCs w:val="22"/>
          <w:lang w:val="en-GB"/>
        </w:rPr>
      </w:pPr>
      <w:r>
        <w:rPr>
          <w:rFonts w:cs="Arial"/>
          <w:sz w:val="22"/>
          <w:szCs w:val="22"/>
          <w:lang w:val="en-GB"/>
        </w:rPr>
        <w:t>What facilities are currently available and where are they located?</w:t>
      </w:r>
    </w:p>
    <w:p w14:paraId="60F24490" w14:textId="77777777" w:rsidR="009F5C9A" w:rsidRDefault="006E5996">
      <w:pPr>
        <w:pStyle w:val="Listenabsatz"/>
        <w:numPr>
          <w:ilvl w:val="0"/>
          <w:numId w:val="2"/>
        </w:numPr>
        <w:spacing w:after="113"/>
        <w:rPr>
          <w:rFonts w:eastAsia="MiloOffc" w:cs="Arial"/>
          <w:sz w:val="22"/>
          <w:szCs w:val="22"/>
          <w:lang w:val="en-GB"/>
        </w:rPr>
      </w:pPr>
      <w:r>
        <w:rPr>
          <w:rFonts w:cs="Arial"/>
          <w:sz w:val="22"/>
          <w:szCs w:val="22"/>
          <w:lang w:val="en-GB"/>
        </w:rPr>
        <w:t>Explain why you think it is necessary to purchase the building, who is going to use it and for which purpose. What benefits do you expect from the implementation of the project?</w:t>
      </w:r>
    </w:p>
    <w:p w14:paraId="493D3E06" w14:textId="717E0529" w:rsidR="009F5C9A" w:rsidRDefault="006E5996">
      <w:pPr>
        <w:pStyle w:val="Listenabsatz"/>
        <w:numPr>
          <w:ilvl w:val="0"/>
          <w:numId w:val="2"/>
        </w:numPr>
        <w:spacing w:after="113"/>
        <w:rPr>
          <w:rFonts w:eastAsia="MiloOffc" w:cs="Arial"/>
          <w:sz w:val="22"/>
          <w:szCs w:val="22"/>
          <w:lang w:val="en-GB"/>
        </w:rPr>
      </w:pPr>
      <w:r>
        <w:rPr>
          <w:rFonts w:cs="Arial"/>
          <w:sz w:val="22"/>
          <w:szCs w:val="22"/>
          <w:lang w:val="en-GB"/>
        </w:rPr>
        <w:t>How has the project matured? Who took the initiative and who is directly involved in its management?</w:t>
      </w:r>
    </w:p>
    <w:p w14:paraId="4D8153BB" w14:textId="77777777" w:rsidR="009F5C9A" w:rsidRDefault="006E5996">
      <w:pPr>
        <w:pStyle w:val="Listenabsatz"/>
        <w:numPr>
          <w:ilvl w:val="0"/>
          <w:numId w:val="2"/>
        </w:numPr>
        <w:spacing w:after="113"/>
        <w:rPr>
          <w:rFonts w:eastAsia="MiloOffc" w:cs="Arial"/>
          <w:sz w:val="22"/>
          <w:szCs w:val="22"/>
          <w:lang w:val="en-GB"/>
        </w:rPr>
      </w:pPr>
      <w:r>
        <w:rPr>
          <w:rFonts w:eastAsia="MiloOffc" w:cs="Arial"/>
          <w:sz w:val="22"/>
          <w:szCs w:val="22"/>
          <w:lang w:val="en-GB"/>
        </w:rPr>
        <w:t>Who is the current owner of the building? Please send a copy of the document certifying the ownership. Is the property debt-free? Who will be the legal owner of the land and building to be purchased?</w:t>
      </w:r>
    </w:p>
    <w:p w14:paraId="757607D2" w14:textId="67F39F77" w:rsidR="009F5C9A" w:rsidRDefault="006E5996">
      <w:pPr>
        <w:pStyle w:val="Listenabsatz"/>
        <w:numPr>
          <w:ilvl w:val="0"/>
          <w:numId w:val="2"/>
        </w:numPr>
        <w:spacing w:after="113"/>
      </w:pPr>
      <w:r>
        <w:rPr>
          <w:rFonts w:eastAsia="MiloOffc" w:cs="Arial"/>
          <w:sz w:val="22"/>
          <w:szCs w:val="22"/>
          <w:lang w:val="en-GB"/>
        </w:rPr>
        <w:t>Copy of the necessary licence to construct or remodel the building.</w:t>
      </w:r>
    </w:p>
    <w:p w14:paraId="4C16E9CA" w14:textId="083982EF" w:rsidR="009F5C9A" w:rsidRDefault="006E5996">
      <w:pPr>
        <w:pStyle w:val="Listenabsatz"/>
        <w:numPr>
          <w:ilvl w:val="0"/>
          <w:numId w:val="2"/>
        </w:numPr>
        <w:spacing w:after="113"/>
        <w:rPr>
          <w:rFonts w:eastAsia="MiloOffc" w:cs="Arial"/>
          <w:sz w:val="22"/>
          <w:szCs w:val="22"/>
          <w:lang w:val="en-GB"/>
        </w:rPr>
      </w:pPr>
      <w:r>
        <w:rPr>
          <w:rFonts w:cs="Arial"/>
          <w:sz w:val="22"/>
          <w:szCs w:val="22"/>
          <w:lang w:val="en-GB"/>
        </w:rPr>
        <w:t xml:space="preserve">If the future owner is a secular institution or organisation, to whom will the property be transferred if the organisation dissolves? </w:t>
      </w:r>
    </w:p>
    <w:p w14:paraId="2613D6CE" w14:textId="77777777" w:rsidR="009F5C9A" w:rsidRDefault="006E5996">
      <w:pPr>
        <w:pStyle w:val="Listenabsatz"/>
        <w:numPr>
          <w:ilvl w:val="0"/>
          <w:numId w:val="2"/>
        </w:numPr>
        <w:spacing w:after="113"/>
        <w:rPr>
          <w:lang w:val="en-GB"/>
        </w:rPr>
      </w:pPr>
      <w:r>
        <w:rPr>
          <w:rFonts w:cs="Arial"/>
          <w:sz w:val="22"/>
          <w:szCs w:val="22"/>
          <w:lang w:val="en-GB"/>
        </w:rPr>
        <w:t>Location of the building with exact address, year of construction and general condition. Attach photos showing the building and its condition.</w:t>
      </w:r>
    </w:p>
    <w:p w14:paraId="6224704E" w14:textId="77777777" w:rsidR="009F5C9A" w:rsidRDefault="006E5996">
      <w:pPr>
        <w:pStyle w:val="Listenabsatz"/>
        <w:numPr>
          <w:ilvl w:val="0"/>
          <w:numId w:val="2"/>
        </w:numPr>
        <w:spacing w:after="113"/>
        <w:rPr>
          <w:lang w:val="en-GB"/>
        </w:rPr>
      </w:pPr>
      <w:r>
        <w:rPr>
          <w:rFonts w:cs="Arial"/>
          <w:sz w:val="22"/>
          <w:szCs w:val="22"/>
          <w:lang w:val="en-GB"/>
        </w:rPr>
        <w:t>Plan or handmade sketch of the architectural layout, indicating the main dimensions, the size in m² and the distribution and function of the business premises/rooms on each floor.</w:t>
      </w:r>
    </w:p>
    <w:p w14:paraId="2AF54784" w14:textId="77777777" w:rsidR="009F5C9A" w:rsidRDefault="006E5996">
      <w:pPr>
        <w:pStyle w:val="Listenabsatz"/>
        <w:numPr>
          <w:ilvl w:val="0"/>
          <w:numId w:val="2"/>
        </w:numPr>
        <w:spacing w:after="113"/>
        <w:rPr>
          <w:rFonts w:cs="Arial"/>
          <w:sz w:val="22"/>
          <w:szCs w:val="22"/>
          <w:lang w:val="en-GB"/>
        </w:rPr>
      </w:pPr>
      <w:r>
        <w:rPr>
          <w:rFonts w:cs="Arial"/>
          <w:sz w:val="22"/>
          <w:szCs w:val="22"/>
          <w:lang w:val="en-GB"/>
        </w:rPr>
        <w:t>What economic measures will be taken to cover the running costs and maintenance expenses of the property?</w:t>
      </w:r>
    </w:p>
    <w:p w14:paraId="1EC54B00" w14:textId="77777777" w:rsidR="009F5C9A" w:rsidRDefault="009F5C9A">
      <w:pPr>
        <w:spacing w:after="113"/>
        <w:rPr>
          <w:rFonts w:eastAsia="MiloOffc" w:cs="Arial"/>
          <w:sz w:val="22"/>
          <w:szCs w:val="22"/>
          <w:highlight w:val="yellow"/>
          <w:lang w:val="en-GB"/>
        </w:rPr>
      </w:pPr>
    </w:p>
    <w:p w14:paraId="11DB13BF" w14:textId="77777777" w:rsidR="009F5C9A" w:rsidRDefault="009F5C9A">
      <w:pPr>
        <w:spacing w:after="113"/>
        <w:rPr>
          <w:rFonts w:eastAsia="MiloOffc" w:cs="Arial"/>
          <w:sz w:val="22"/>
          <w:szCs w:val="22"/>
          <w:highlight w:val="yellow"/>
          <w:lang w:val="en-GB"/>
        </w:rPr>
      </w:pPr>
    </w:p>
    <w:p w14:paraId="1C914A93" w14:textId="77777777" w:rsidR="009F5C9A" w:rsidRDefault="009F5C9A">
      <w:pPr>
        <w:spacing w:after="113"/>
        <w:rPr>
          <w:rFonts w:eastAsia="MiloOffc" w:cs="Arial"/>
          <w:sz w:val="22"/>
          <w:szCs w:val="22"/>
          <w:highlight w:val="yellow"/>
          <w:lang w:val="en-GB"/>
        </w:rPr>
      </w:pPr>
    </w:p>
    <w:p w14:paraId="0CE6A81F" w14:textId="77777777" w:rsidR="009F5C9A" w:rsidRDefault="006E5996">
      <w:pPr>
        <w:spacing w:after="113"/>
        <w:jc w:val="right"/>
        <w:rPr>
          <w:rFonts w:eastAsia="MiloOffc" w:cs="Arial"/>
          <w:sz w:val="22"/>
          <w:szCs w:val="22"/>
          <w:lang w:val="en-GB"/>
        </w:rPr>
      </w:pPr>
      <w:r>
        <w:rPr>
          <w:rFonts w:ascii="Arial" w:hAnsi="Arial" w:cs="Arial"/>
          <w:sz w:val="22"/>
          <w:szCs w:val="22"/>
          <w:lang w:val="en-GB"/>
        </w:rPr>
        <w:t>Version of this form: November 2022</w:t>
      </w:r>
    </w:p>
    <w:p w14:paraId="07CC6204" w14:textId="77777777" w:rsidR="009F5C9A" w:rsidRDefault="009F5C9A">
      <w:pPr>
        <w:spacing w:after="113"/>
        <w:jc w:val="center"/>
      </w:pPr>
    </w:p>
    <w:sectPr w:rsidR="009F5C9A">
      <w:footerReference w:type="default" r:id="rId8"/>
      <w:pgSz w:w="11906" w:h="16838"/>
      <w:pgMar w:top="851" w:right="1134" w:bottom="1701" w:left="1134" w:header="0" w:footer="57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F58A" w14:textId="77777777" w:rsidR="004473A4" w:rsidRDefault="006E5996">
      <w:r>
        <w:separator/>
      </w:r>
    </w:p>
  </w:endnote>
  <w:endnote w:type="continuationSeparator" w:id="0">
    <w:p w14:paraId="799D787B" w14:textId="77777777" w:rsidR="004473A4" w:rsidRDefault="006E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loOffc">
    <w:panose1 w:val="00000000000000000000"/>
    <w:charset w:val="00"/>
    <w:family w:val="roman"/>
    <w:notTrueType/>
    <w:pitch w:val="default"/>
  </w:font>
  <w:font w:name="MiloOffc-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AA1B" w14:textId="77777777" w:rsidR="009F5C9A" w:rsidRDefault="006E5996">
    <w:pPr>
      <w:tabs>
        <w:tab w:val="left" w:pos="8789"/>
      </w:tabs>
      <w:overflowPunct/>
      <w:ind w:right="-1"/>
    </w:pPr>
    <w:r>
      <w:rPr>
        <w:rFonts w:ascii="Arial" w:eastAsia="MiloOffc-Bold" w:hAnsi="Arial" w:cs="MiloOffc-Bold"/>
        <w:b/>
        <w:bCs/>
        <w:sz w:val="16"/>
        <w:szCs w:val="16"/>
      </w:rPr>
      <w:t>Bischöfliche Aktion Adveniat e.V.</w:t>
    </w:r>
    <w:r>
      <w:rPr>
        <w:rFonts w:ascii="Arial" w:eastAsia="MiloOffc" w:hAnsi="Arial" w:cs="MiloOffc"/>
        <w:sz w:val="16"/>
        <w:szCs w:val="16"/>
      </w:rPr>
      <w:t xml:space="preserve">∙ </w:t>
    </w:r>
    <w:r>
      <w:rPr>
        <w:rFonts w:ascii="Arial" w:eastAsia="MiloOffc" w:hAnsi="Arial" w:cs="MiloOffc"/>
        <w:sz w:val="16"/>
        <w:szCs w:val="16"/>
        <w:lang w:val="en-GB"/>
      </w:rPr>
      <w:t xml:space="preserve">serving the peoples in Latin America and the Caribbean - Gildehofstrasse 2 ∙ 45127 Essen ∙ Germany - Tel +49 201 1756-0 - </w:t>
    </w:r>
    <w:hyperlink r:id="rId1">
      <w:r>
        <w:rPr>
          <w:rStyle w:val="Internetverknpfung"/>
          <w:rFonts w:ascii="Arial" w:eastAsia="MiloOffc" w:hAnsi="Arial" w:cs="MiloOffc"/>
          <w:color w:val="2E74B5" w:themeColor="accent1" w:themeShade="BF"/>
          <w:sz w:val="16"/>
          <w:szCs w:val="16"/>
          <w:lang w:val="en-GB"/>
        </w:rPr>
        <w:t>www.adveniat.org</w:t>
      </w:r>
    </w:hyperlink>
    <w:r>
      <w:rPr>
        <w:rFonts w:ascii="Arial" w:eastAsia="MiloOffc" w:hAnsi="Arial" w:cs="MiloOffc"/>
        <w:sz w:val="16"/>
        <w:szCs w:val="16"/>
        <w:lang w:val="en-GB"/>
      </w:rPr>
      <w:t xml:space="preserve"> - Director General P</w:t>
    </w:r>
    <w:r>
      <w:rPr>
        <w:rFonts w:ascii="Arial" w:eastAsia="MiloOffc" w:hAnsi="Arial" w:cs="MiloOffc"/>
        <w:sz w:val="16"/>
        <w:szCs w:val="16"/>
      </w:rPr>
      <w:t>. Dr.</w:t>
    </w:r>
    <w:r>
      <w:rPr>
        <w:rFonts w:ascii="Arial" w:eastAsia="MiloOffc" w:hAnsi="Arial" w:cs="MiloOffc"/>
        <w:sz w:val="16"/>
        <w:szCs w:val="16"/>
        <w:lang w:val="en-GB"/>
      </w:rPr>
      <w:t xml:space="preserve"> Martin Maier SJ – Managing D</w:t>
    </w:r>
    <w:r>
      <w:rPr>
        <w:rFonts w:ascii="Arial" w:hAnsi="Arial" w:cs="Arial"/>
        <w:sz w:val="16"/>
        <w:szCs w:val="16"/>
        <w:lang w:val="en-GB"/>
      </w:rPr>
      <w:t>irector Tanja Himer</w:t>
    </w:r>
    <w:r>
      <w:rPr>
        <w:rFonts w:ascii="Arial" w:hAnsi="Arial" w:cs="Arial"/>
        <w:sz w:val="16"/>
        <w:szCs w:val="16"/>
      </w:rPr>
      <w:tab/>
    </w:r>
    <w:r>
      <w:rPr>
        <w:rFonts w:ascii="Arial" w:hAnsi="Arial" w:cs="Arial"/>
        <w:b/>
        <w:i/>
        <w:sz w:val="12"/>
        <w:szCs w:val="12"/>
      </w:rPr>
      <w:t>V11/22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70E2" w14:textId="77777777" w:rsidR="004473A4" w:rsidRDefault="006E5996">
      <w:r>
        <w:separator/>
      </w:r>
    </w:p>
  </w:footnote>
  <w:footnote w:type="continuationSeparator" w:id="0">
    <w:p w14:paraId="59DB80AC" w14:textId="77777777" w:rsidR="004473A4" w:rsidRDefault="006E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944"/>
    <w:multiLevelType w:val="multilevel"/>
    <w:tmpl w:val="4D482F9E"/>
    <w:lvl w:ilvl="0">
      <w:start w:val="6"/>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B8C4C49"/>
    <w:multiLevelType w:val="multilevel"/>
    <w:tmpl w:val="A8566E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2C5943"/>
    <w:multiLevelType w:val="multilevel"/>
    <w:tmpl w:val="2AA6A6B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141847971">
    <w:abstractNumId w:val="0"/>
  </w:num>
  <w:num w:numId="2" w16cid:durableId="1222137331">
    <w:abstractNumId w:val="2"/>
  </w:num>
  <w:num w:numId="3" w16cid:durableId="1357923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9A"/>
    <w:rsid w:val="004473A4"/>
    <w:rsid w:val="005242BC"/>
    <w:rsid w:val="006E5996"/>
    <w:rsid w:val="007E0D69"/>
    <w:rsid w:val="009F5C9A"/>
    <w:rsid w:val="00A463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D4FB"/>
  <w15:docId w15:val="{679A9CED-1A4F-45EB-8035-470058A6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overflowPunct w:val="0"/>
    </w:pPr>
    <w:rPr>
      <w:rFonts w:ascii="Times New Roman" w:hAnsi="Times New Roman" w:cs="Mangal"/>
      <w:color w:val="00000A"/>
      <w:kern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Internetverknpfung">
    <w:name w:val="Internetverknüpfung"/>
    <w:basedOn w:val="Absatz-Standardschriftart"/>
    <w:uiPriority w:val="99"/>
    <w:unhideWhenUsed/>
    <w:rsid w:val="0007175B"/>
    <w:rPr>
      <w:color w:val="0563C1" w:themeColor="hyperlink"/>
      <w:u w:val="single"/>
    </w:rPr>
  </w:style>
  <w:style w:type="character" w:customStyle="1" w:styleId="KopfzeileZchn">
    <w:name w:val="Kopfzeile Zchn"/>
    <w:basedOn w:val="Absatz-Standardschriftart"/>
    <w:link w:val="Kopfzeile"/>
    <w:uiPriority w:val="99"/>
    <w:qFormat/>
    <w:rsid w:val="00F47889"/>
    <w:rPr>
      <w:rFonts w:ascii="Times New Roman" w:hAnsi="Times New Roman" w:cs="Mangal"/>
      <w:color w:val="00000A"/>
      <w:kern w:val="2"/>
      <w:sz w:val="24"/>
      <w:szCs w:val="21"/>
    </w:rPr>
  </w:style>
  <w:style w:type="character" w:styleId="Kommentarzeichen">
    <w:name w:val="annotation reference"/>
    <w:basedOn w:val="Absatz-Standardschriftart"/>
    <w:uiPriority w:val="99"/>
    <w:semiHidden/>
    <w:unhideWhenUsed/>
    <w:qFormat/>
    <w:rsid w:val="004A7032"/>
    <w:rPr>
      <w:sz w:val="16"/>
      <w:szCs w:val="16"/>
    </w:rPr>
  </w:style>
  <w:style w:type="character" w:customStyle="1" w:styleId="KommentartextZchn">
    <w:name w:val="Kommentartext Zchn"/>
    <w:basedOn w:val="Absatz-Standardschriftart"/>
    <w:link w:val="Kommentartext"/>
    <w:uiPriority w:val="99"/>
    <w:qFormat/>
    <w:rsid w:val="004A7032"/>
    <w:rPr>
      <w:rFonts w:ascii="Times New Roman" w:hAnsi="Times New Roman" w:cs="Mangal"/>
      <w:color w:val="00000A"/>
      <w:kern w:val="2"/>
      <w:szCs w:val="18"/>
    </w:rPr>
  </w:style>
  <w:style w:type="character" w:customStyle="1" w:styleId="KommentarthemaZchn">
    <w:name w:val="Kommentarthema Zchn"/>
    <w:basedOn w:val="KommentartextZchn"/>
    <w:link w:val="Kommentarthema"/>
    <w:uiPriority w:val="99"/>
    <w:semiHidden/>
    <w:qFormat/>
    <w:rsid w:val="004A7032"/>
    <w:rPr>
      <w:rFonts w:ascii="Times New Roman" w:hAnsi="Times New Roman" w:cs="Mangal"/>
      <w:b/>
      <w:bCs/>
      <w:color w:val="00000A"/>
      <w:kern w:val="2"/>
      <w:szCs w:val="18"/>
    </w:rPr>
  </w:style>
  <w:style w:type="character" w:customStyle="1" w:styleId="SprechblasentextZchn">
    <w:name w:val="Sprechblasentext Zchn"/>
    <w:basedOn w:val="Absatz-Standardschriftart"/>
    <w:link w:val="Sprechblasentext"/>
    <w:uiPriority w:val="99"/>
    <w:semiHidden/>
    <w:qFormat/>
    <w:rsid w:val="004A7032"/>
    <w:rPr>
      <w:rFonts w:ascii="Segoe UI" w:hAnsi="Segoe UI" w:cs="Mangal"/>
      <w:color w:val="00000A"/>
      <w:kern w:val="2"/>
      <w:sz w:val="18"/>
      <w:szCs w:val="16"/>
    </w:rPr>
  </w:style>
  <w:style w:type="character" w:styleId="NichtaufgelsteErwhnung">
    <w:name w:val="Unresolved Mention"/>
    <w:basedOn w:val="Absatz-Standardschriftart"/>
    <w:uiPriority w:val="99"/>
    <w:semiHidden/>
    <w:unhideWhenUsed/>
    <w:qFormat/>
    <w:rsid w:val="0007175B"/>
    <w:rPr>
      <w:color w:val="605E5C"/>
      <w:shd w:val="clear" w:color="auto" w:fill="E1DFDD"/>
    </w:rPr>
  </w:style>
  <w:style w:type="character" w:customStyle="1" w:styleId="ListLabel1">
    <w:name w:val="ListLabel 1"/>
    <w:qFormat/>
    <w:rPr>
      <w:rFonts w:eastAsia="SimSun" w:cs="Arial"/>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b/>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Arial"/>
      <w:b/>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Fuzeile">
    <w:name w:val="footer"/>
    <w:basedOn w:val="Standard"/>
    <w:pPr>
      <w:suppressLineNumbers/>
      <w:tabs>
        <w:tab w:val="center" w:pos="4819"/>
        <w:tab w:val="right" w:pos="9638"/>
      </w:tab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TabellenInhalt0">
    <w:name w:val="Tabellen Inhalt"/>
    <w:basedOn w:val="Standard"/>
    <w:qFormat/>
    <w:pPr>
      <w:suppressLineNumbers/>
    </w:pPr>
  </w:style>
  <w:style w:type="paragraph" w:styleId="Kopfzeile">
    <w:name w:val="header"/>
    <w:basedOn w:val="Standard"/>
    <w:link w:val="KopfzeileZchn"/>
    <w:uiPriority w:val="99"/>
    <w:unhideWhenUsed/>
    <w:rsid w:val="00F47889"/>
    <w:pPr>
      <w:tabs>
        <w:tab w:val="center" w:pos="4536"/>
        <w:tab w:val="right" w:pos="9072"/>
      </w:tabs>
    </w:pPr>
    <w:rPr>
      <w:szCs w:val="21"/>
    </w:rPr>
  </w:style>
  <w:style w:type="paragraph" w:styleId="Listenabsatz">
    <w:name w:val="List Paragraph"/>
    <w:basedOn w:val="Standard"/>
    <w:qFormat/>
    <w:rsid w:val="003747BC"/>
    <w:pPr>
      <w:overflowPunct/>
      <w:ind w:left="720"/>
      <w:textAlignment w:val="baseline"/>
    </w:pPr>
    <w:rPr>
      <w:rFonts w:ascii="Arial" w:hAnsi="Arial"/>
      <w:szCs w:val="21"/>
    </w:rPr>
  </w:style>
  <w:style w:type="paragraph" w:styleId="Kommentartext">
    <w:name w:val="annotation text"/>
    <w:basedOn w:val="Standard"/>
    <w:link w:val="KommentartextZchn"/>
    <w:uiPriority w:val="99"/>
    <w:unhideWhenUsed/>
    <w:qFormat/>
    <w:rsid w:val="004A7032"/>
    <w:rPr>
      <w:sz w:val="20"/>
      <w:szCs w:val="18"/>
    </w:rPr>
  </w:style>
  <w:style w:type="paragraph" w:styleId="Kommentarthema">
    <w:name w:val="annotation subject"/>
    <w:basedOn w:val="Kommentartext"/>
    <w:link w:val="KommentarthemaZchn"/>
    <w:uiPriority w:val="99"/>
    <w:semiHidden/>
    <w:unhideWhenUsed/>
    <w:qFormat/>
    <w:rsid w:val="004A7032"/>
    <w:rPr>
      <w:b/>
      <w:bCs/>
    </w:rPr>
  </w:style>
  <w:style w:type="paragraph" w:styleId="Sprechblasentext">
    <w:name w:val="Balloon Text"/>
    <w:basedOn w:val="Standard"/>
    <w:link w:val="SprechblasentextZchn"/>
    <w:uiPriority w:val="99"/>
    <w:semiHidden/>
    <w:unhideWhenUsed/>
    <w:qFormat/>
    <w:rsid w:val="004A7032"/>
    <w:rPr>
      <w:rFonts w:ascii="Segoe UI" w:hAnsi="Segoe UI"/>
      <w:sz w:val="18"/>
      <w:szCs w:val="16"/>
    </w:rPr>
  </w:style>
  <w:style w:type="paragraph" w:styleId="berarbeitung">
    <w:name w:val="Revision"/>
    <w:uiPriority w:val="99"/>
    <w:semiHidden/>
    <w:qFormat/>
    <w:rsid w:val="008839F6"/>
    <w:rPr>
      <w:rFonts w:ascii="Times New Roman" w:hAnsi="Times New Roman" w:cs="Mangal"/>
      <w:color w:val="00000A"/>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venia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Company>Bischöfliche Aktion Adveniat e.V.</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Silva</dc:creator>
  <dc:description/>
  <cp:lastModifiedBy>Martina Gores</cp:lastModifiedBy>
  <cp:revision>5</cp:revision>
  <cp:lastPrinted>2021-04-12T11:04:00Z</cp:lastPrinted>
  <dcterms:created xsi:type="dcterms:W3CDTF">2022-11-28T15:40:00Z</dcterms:created>
  <dcterms:modified xsi:type="dcterms:W3CDTF">2022-11-29T09:04:00Z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